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4"/>
        <w:tabs>
          <w:tab w:val="right" w:pos="9781"/>
        </w:tabs>
        <w:rPr>
          <w:rFonts w:cs="Arial"/>
          <w:b w:val="0"/>
          <w:bCs/>
          <w:sz w:val="22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1"/>
      <w:bookmarkStart w:id="1" w:name="OLE_LINK52"/>
      <w:bookmarkStart w:id="2" w:name="OLE_LINK50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bCs/>
          <w:sz w:val="22"/>
          <w:szCs w:val="22"/>
          <w:lang w:val="en-US"/>
        </w:rPr>
        <w:t>RAN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1 Meeting </w:t>
      </w:r>
      <w:r>
        <w:rPr>
          <w:rFonts w:cs="Arial"/>
          <w:sz w:val="22"/>
          <w:szCs w:val="22"/>
        </w:rPr>
        <w:t>#123</w:t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>R1-2508690</w:t>
      </w:r>
    </w:p>
    <w:p>
      <w:pPr>
        <w:pStyle w:val="34"/>
        <w:rPr>
          <w:sz w:val="22"/>
          <w:szCs w:val="22"/>
        </w:rPr>
      </w:pPr>
      <w:r>
        <w:rPr>
          <w:sz w:val="22"/>
          <w:szCs w:val="22"/>
        </w:rPr>
        <w:t>Dallas, USA, Nov 17</w:t>
      </w:r>
      <w:r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– 21</w:t>
      </w:r>
      <w:r>
        <w:rPr>
          <w:sz w:val="22"/>
          <w:szCs w:val="22"/>
          <w:vertAlign w:val="superscript"/>
        </w:rPr>
        <w:t>st</w:t>
      </w:r>
      <w:r>
        <w:rPr>
          <w:sz w:val="22"/>
          <w:szCs w:val="22"/>
        </w:rPr>
        <w:t>, 2025</w:t>
      </w:r>
    </w:p>
    <w:p>
      <w:pPr>
        <w:rPr>
          <w:rFonts w:ascii="Arial" w:hAnsi="Arial" w:cs="Arial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Draft reply LS on SBFD and CA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3" w:name="OLE_LINK57"/>
      <w:bookmarkStart w:id="4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  <w:lang w:val="en-US" w:eastAsia="zh-CN"/>
        </w:rPr>
        <w:t>R1-2508304(R2-2507746)</w:t>
      </w:r>
    </w:p>
    <w:bookmarkEnd w:id="3"/>
    <w:bookmarkEnd w:id="4"/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61"/>
      <w:bookmarkStart w:id="6" w:name="OLE_LINK60"/>
      <w:bookmarkStart w:id="7" w:name="OLE_LINK59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Rel-19</w:t>
      </w:r>
    </w:p>
    <w:bookmarkEnd w:id="5"/>
    <w:bookmarkEnd w:id="6"/>
    <w:bookmarkEnd w:id="7"/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NR_duplex_evo-Core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ZTE, [RAN1]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RAN2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RAN4</w:t>
      </w:r>
    </w:p>
    <w:bookmarkEnd w:id="8"/>
    <w:bookmarkEnd w:id="9"/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</w:p>
    <w:p>
      <w:pPr>
        <w:spacing w:after="60"/>
        <w:ind w:left="72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Name: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Shuaihua Kou</w:t>
      </w:r>
    </w:p>
    <w:p>
      <w:pPr>
        <w:spacing w:after="60"/>
        <w:ind w:left="72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E-mail address: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kou.shuaihua@zte.com.cn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46"/>
          <w:rFonts w:ascii="Arial" w:hAnsi="Arial" w:cs="Arial"/>
          <w:b/>
          <w:sz w:val="22"/>
          <w:szCs w:val="22"/>
        </w:rPr>
        <w:t>mailto:3GPPLiaison@etsi.org</w:t>
      </w:r>
      <w:r>
        <w:rPr>
          <w:rStyle w:val="46"/>
          <w:rFonts w:ascii="Arial" w:hAnsi="Arial" w:cs="Arial"/>
          <w:b/>
          <w:sz w:val="22"/>
          <w:szCs w:val="22"/>
        </w:rPr>
        <w:fldChar w:fldCharType="end"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</w:rPr>
        <w:t>None</w:t>
      </w:r>
    </w:p>
    <w:p>
      <w:pPr>
        <w:rPr>
          <w:rFonts w:ascii="Arial" w:hAnsi="Arial" w:cs="Arial"/>
        </w:rPr>
      </w:pPr>
    </w:p>
    <w:p>
      <w:pPr>
        <w:pStyle w:val="2"/>
      </w:pPr>
      <w:r>
        <w:t>1</w:t>
      </w:r>
      <w:r>
        <w:tab/>
      </w:r>
      <w:r>
        <w:t>Overall description</w:t>
      </w:r>
    </w:p>
    <w:p>
      <w:r>
        <w:t>RAN1 thanks RAN2 for the LS R1-2508304(R2-2507746) on SBFD and CA. RAN1 would like to provide the following TP for supporting SBFD with CA in TS38.300.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1" w:type="dxa"/>
            <w:shd w:val="clear" w:color="auto" w:fill="auto"/>
          </w:tcPr>
          <w:p>
            <w:pPr>
              <w:keepNext/>
              <w:keepLines/>
              <w:widowControl w:val="0"/>
              <w:spacing w:before="180"/>
              <w:ind w:left="1134" w:hanging="1134"/>
              <w:jc w:val="both"/>
              <w:outlineLvl w:val="1"/>
              <w:rPr>
                <w:rFonts w:ascii="Arial" w:hAnsi="Arial" w:eastAsia="Times New Roman"/>
                <w:kern w:val="2"/>
                <w:sz w:val="32"/>
                <w:szCs w:val="24"/>
                <w:lang w:eastAsia="zh-CN"/>
              </w:rPr>
            </w:pPr>
            <w:bookmarkStart w:id="10" w:name="OLE_LINK19"/>
            <w:bookmarkStart w:id="11" w:name="OLE_LINK18"/>
            <w:bookmarkStart w:id="12" w:name="OLE_LINK17"/>
            <w:bookmarkStart w:id="13" w:name="_Toc185530772"/>
            <w:bookmarkStart w:id="14" w:name="_Toc210385671"/>
            <w:bookmarkStart w:id="15" w:name="OLE_LINK16"/>
            <w:r>
              <w:rPr>
                <w:rFonts w:ascii="Arial" w:hAnsi="Arial"/>
                <w:kern w:val="2"/>
                <w:sz w:val="32"/>
                <w:szCs w:val="24"/>
                <w:lang w:eastAsia="zh-CN"/>
              </w:rPr>
              <w:t>23</w:t>
            </w:r>
            <w:r>
              <w:rPr>
                <w:rFonts w:ascii="Arial" w:hAnsi="Arial" w:eastAsia="Times New Roman"/>
                <w:kern w:val="2"/>
                <w:sz w:val="32"/>
                <w:szCs w:val="24"/>
                <w:lang w:eastAsia="zh-CN"/>
              </w:rPr>
              <w:t>.1</w:t>
            </w:r>
            <w:r>
              <w:rPr>
                <w:rFonts w:ascii="Arial" w:hAnsi="Arial" w:eastAsia="Times New Roman"/>
                <w:kern w:val="2"/>
                <w:sz w:val="32"/>
                <w:szCs w:val="24"/>
                <w:lang w:eastAsia="zh-CN"/>
              </w:rPr>
              <w:tab/>
            </w:r>
            <w:r>
              <w:rPr>
                <w:rFonts w:ascii="Arial" w:hAnsi="Arial" w:eastAsia="Times New Roman"/>
                <w:kern w:val="2"/>
                <w:sz w:val="32"/>
                <w:szCs w:val="24"/>
                <w:lang w:eastAsia="zh-CN"/>
              </w:rPr>
              <w:t>Genera</w:t>
            </w:r>
            <w:bookmarkEnd w:id="10"/>
            <w:bookmarkEnd w:id="11"/>
            <w:bookmarkEnd w:id="12"/>
            <w:r>
              <w:rPr>
                <w:rFonts w:ascii="Arial" w:hAnsi="Arial" w:eastAsia="Times New Roman"/>
                <w:kern w:val="2"/>
                <w:sz w:val="32"/>
                <w:szCs w:val="24"/>
                <w:lang w:eastAsia="zh-CN"/>
              </w:rPr>
              <w:t>l</w:t>
            </w:r>
            <w:bookmarkEnd w:id="13"/>
            <w:bookmarkEnd w:id="14"/>
          </w:p>
          <w:bookmarkEnd w:id="15"/>
          <w:p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Sub-Band Full Duplex (SBFD) operation is </w:t>
            </w:r>
            <w:r>
              <w:rPr>
                <w:lang w:eastAsia="zh-CN"/>
              </w:rPr>
              <w:t>supported for</w:t>
            </w:r>
            <w:r>
              <w:rPr>
                <w:rFonts w:hint="eastAsia"/>
                <w:lang w:eastAsia="zh-CN"/>
              </w:rPr>
              <w:t xml:space="preserve"> a TDD </w:t>
            </w:r>
            <w:r>
              <w:rPr>
                <w:lang w:eastAsia="zh-CN"/>
              </w:rPr>
              <w:t xml:space="preserve">carrier, </w:t>
            </w:r>
            <w:bookmarkStart w:id="16" w:name="OLE_LINK11"/>
            <w:bookmarkStart w:id="17" w:name="OLE_LINK12"/>
            <w:r>
              <w:rPr>
                <w:lang w:eastAsia="zh-CN"/>
              </w:rPr>
              <w:t>enabling</w:t>
            </w:r>
            <w:r>
              <w:rPr>
                <w:rFonts w:hint="eastAsia"/>
                <w:lang w:eastAsia="zh-CN"/>
              </w:rPr>
              <w:t xml:space="preserve"> simultaneous downlink </w:t>
            </w:r>
            <w:r>
              <w:rPr>
                <w:lang w:eastAsia="zh-CN"/>
              </w:rPr>
              <w:t xml:space="preserve">transmission </w:t>
            </w:r>
            <w:r>
              <w:rPr>
                <w:rFonts w:hint="eastAsia"/>
                <w:lang w:eastAsia="zh-CN"/>
              </w:rPr>
              <w:t xml:space="preserve">and uplink </w:t>
            </w:r>
            <w:r>
              <w:rPr>
                <w:lang w:eastAsia="zh-CN"/>
              </w:rPr>
              <w:t>reception</w:t>
            </w:r>
            <w:r>
              <w:rPr>
                <w:rFonts w:hint="eastAsia"/>
                <w:lang w:eastAsia="zh-CN"/>
              </w:rPr>
              <w:t xml:space="preserve"> at the gNB</w:t>
            </w:r>
            <w:bookmarkEnd w:id="16"/>
            <w:bookmarkEnd w:id="17"/>
            <w:r>
              <w:rPr>
                <w:rFonts w:eastAsia="Times New Roman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on their </w:t>
            </w:r>
            <w:r>
              <w:rPr>
                <w:rFonts w:eastAsia="Times New Roman"/>
                <w:lang w:eastAsia="zh-CN"/>
              </w:rPr>
              <w:t xml:space="preserve">non-overlapping </w:t>
            </w:r>
            <w:r>
              <w:rPr>
                <w:lang w:eastAsia="zh-CN"/>
              </w:rPr>
              <w:t>respective sub-bands</w:t>
            </w:r>
            <w:r>
              <w:rPr>
                <w:rFonts w:hint="eastAsia"/>
                <w:lang w:eastAsia="zh-CN"/>
              </w:rPr>
              <w:t xml:space="preserve">. From UE perspective, full duplex is not supported. The configurations of cell-specific SBFD time and frequency resources are provided </w:t>
            </w:r>
            <w:bookmarkStart w:id="18" w:name="OLE_LINK10"/>
            <w:r>
              <w:rPr>
                <w:rFonts w:hint="eastAsia"/>
                <w:lang w:eastAsia="zh-CN"/>
              </w:rPr>
              <w:t xml:space="preserve">through </w:t>
            </w:r>
            <w:bookmarkEnd w:id="18"/>
            <w:r>
              <w:rPr>
                <w:rFonts w:hint="eastAsia"/>
                <w:lang w:eastAsia="zh-CN"/>
              </w:rPr>
              <w:t xml:space="preserve">SIB1 or dedicated </w:t>
            </w:r>
            <w:r>
              <w:rPr>
                <w:lang w:eastAsia="zh-CN"/>
              </w:rPr>
              <w:t>signalling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  <w:r>
              <w:rPr>
                <w:color w:val="FF0000"/>
                <w:u w:val="single"/>
                <w:lang w:eastAsia="zh-CN"/>
              </w:rPr>
              <w:t xml:space="preserve">SBFD operation can be configured </w:t>
            </w:r>
            <w:r>
              <w:rPr>
                <w:rFonts w:hint="default"/>
                <w:color w:val="FF0000"/>
                <w:u w:val="single"/>
                <w:lang w:val="en-US" w:eastAsia="zh-CN"/>
              </w:rPr>
              <w:t xml:space="preserve">only </w:t>
            </w:r>
            <w:bookmarkStart w:id="23" w:name="_GoBack"/>
            <w:bookmarkEnd w:id="23"/>
            <w:r>
              <w:rPr>
                <w:color w:val="FF0000"/>
                <w:u w:val="single"/>
                <w:lang w:eastAsia="zh-CN"/>
              </w:rPr>
              <w:t xml:space="preserve">on </w:t>
            </w:r>
            <w:r>
              <w:rPr>
                <w:rFonts w:hint="default"/>
                <w:color w:val="FF0000"/>
                <w:u w:val="single"/>
                <w:lang w:val="en-US" w:eastAsia="zh-CN"/>
              </w:rPr>
              <w:t>one cell</w:t>
            </w:r>
            <w:r>
              <w:rPr>
                <w:color w:val="FF0000"/>
                <w:u w:val="single"/>
                <w:lang w:eastAsia="zh-CN"/>
              </w:rPr>
              <w:t xml:space="preserve"> in case of CA.</w:t>
            </w:r>
          </w:p>
          <w:p>
            <w:pPr>
              <w:snapToGrid w:val="0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 xml:space="preserve">A UE can be semi-statically configured with SBFD sub-bands in downlink symbols and flexible symbols </w:t>
            </w:r>
            <w:r>
              <w:rPr>
                <w:rFonts w:eastAsia="Times New Roman"/>
                <w:lang w:eastAsia="zh-CN"/>
              </w:rPr>
              <w:t xml:space="preserve">provided by </w:t>
            </w:r>
            <w:r>
              <w:rPr>
                <w:rFonts w:eastAsia="Times New Roman"/>
                <w:i/>
                <w:lang w:eastAsia="zh-CN"/>
              </w:rPr>
              <w:t>tdd-UL-DL-ConfigurationCommon</w:t>
            </w:r>
            <w:r>
              <w:rPr>
                <w:rFonts w:eastAsia="Malgun Gothic"/>
                <w:lang w:eastAsia="zh-CN"/>
              </w:rPr>
              <w:t xml:space="preserve"> and t</w:t>
            </w:r>
            <w:r>
              <w:rPr>
                <w:rFonts w:eastAsia="Times New Roman"/>
                <w:lang w:eastAsia="zh-CN"/>
              </w:rPr>
              <w:t xml:space="preserve">his UE is referred to as an SBFD aware UE. </w:t>
            </w:r>
            <w:r>
              <w:rPr>
                <w:rFonts w:eastAsia="Malgun Gothic"/>
                <w:lang w:eastAsia="zh-CN"/>
              </w:rPr>
              <w:t>The maximum number of UL sub-bands for SBFD operation in an SBFD symbol within a TDD carrier is one. The maximum number of DL sub-bands for SBFD operation in an SBFD symbol within a TDD carrier is two.</w:t>
            </w:r>
          </w:p>
          <w:p>
            <w:pPr>
              <w:snapToGrid w:val="0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In an SBFD symbol, except for cross-link interference measurements, a UE transmits or receives only in RBs that are both in the active UL BWP and in the UL sub-band, or both in the active DL BWP and the DL sub-band(s), respectively.</w:t>
            </w:r>
          </w:p>
          <w:p>
            <w:pPr>
              <w:snapToGrid w:val="0"/>
            </w:pPr>
            <w:r>
              <w:rPr>
                <w:rFonts w:eastAsia="Times New Roman"/>
                <w:lang w:eastAsia="zh-CN"/>
              </w:rPr>
              <w:t xml:space="preserve">A UE can be configured to transmit or receive </w:t>
            </w:r>
            <w:r>
              <w:rPr>
                <w:rFonts w:hint="eastAsia" w:eastAsia="Times New Roman"/>
                <w:lang w:eastAsia="zh-CN"/>
              </w:rPr>
              <w:t xml:space="preserve">only </w:t>
            </w:r>
            <w:r>
              <w:rPr>
                <w:rFonts w:eastAsia="Times New Roman"/>
                <w:lang w:eastAsia="zh-CN"/>
              </w:rPr>
              <w:t>in non-SBFD symbols</w:t>
            </w:r>
            <w:r>
              <w:rPr>
                <w:rFonts w:hint="eastAsia" w:eastAsia="Times New Roman"/>
                <w:lang w:eastAsia="zh-CN"/>
              </w:rPr>
              <w:t xml:space="preserve">, </w:t>
            </w:r>
            <w:r>
              <w:rPr>
                <w:rFonts w:eastAsia="Times New Roman"/>
                <w:lang w:eastAsia="zh-CN"/>
              </w:rPr>
              <w:t>only</w:t>
            </w:r>
            <w:r>
              <w:rPr>
                <w:rFonts w:hint="eastAsia" w:eastAsia="Times New Roman"/>
                <w:lang w:eastAsia="zh-CN"/>
              </w:rPr>
              <w:t xml:space="preserve"> in</w:t>
            </w:r>
            <w:r>
              <w:rPr>
                <w:rFonts w:eastAsia="Times New Roman"/>
                <w:lang w:eastAsia="zh-CN"/>
              </w:rPr>
              <w:t xml:space="preserve"> SBFD symbols</w:t>
            </w:r>
            <w:r>
              <w:rPr>
                <w:rFonts w:hint="eastAsia" w:eastAsia="Times New Roman"/>
                <w:lang w:eastAsia="zh-CN"/>
              </w:rPr>
              <w:t>, or</w:t>
            </w:r>
            <w:r>
              <w:rPr>
                <w:rFonts w:eastAsia="Times New Roman"/>
                <w:lang w:eastAsia="zh-CN"/>
              </w:rPr>
              <w:t xml:space="preserve"> across both SBFD symbols and non-SBFD symbols for multiple transmission or reception occasions.</w:t>
            </w:r>
          </w:p>
        </w:tc>
      </w:tr>
    </w:tbl>
    <w:p/>
    <w:p>
      <w:pPr>
        <w:pStyle w:val="2"/>
      </w:pPr>
      <w:r>
        <w:t>2</w:t>
      </w:r>
      <w:r>
        <w:tab/>
      </w:r>
      <w:r>
        <w:t>Actions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RAN2:</w:t>
      </w:r>
    </w:p>
    <w:p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t>RAN1 respectfully requests RAN2 to take the above information into account.</w:t>
      </w:r>
    </w:p>
    <w:p>
      <w:pPr>
        <w:pStyle w:val="2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</w:r>
      <w:r>
        <w:rPr>
          <w:szCs w:val="36"/>
        </w:rPr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RAN1</w:t>
      </w:r>
      <w:r>
        <w:rPr>
          <w:szCs w:val="36"/>
        </w:rPr>
        <w:t xml:space="preserve"> meetings</w:t>
      </w:r>
    </w:p>
    <w:p>
      <w:bookmarkStart w:id="19" w:name="OLE_LINK56"/>
      <w:bookmarkStart w:id="20" w:name="OLE_LINK55"/>
      <w:bookmarkStart w:id="21" w:name="OLE_LINK54"/>
      <w:bookmarkStart w:id="22" w:name="OLE_LINK53"/>
      <w:r>
        <w:t>RAN1#124</w:t>
      </w:r>
      <w:r>
        <w:tab/>
      </w:r>
      <w:r>
        <w:t>9</w:t>
      </w:r>
      <w:r>
        <w:rPr>
          <w:vertAlign w:val="superscript"/>
        </w:rPr>
        <w:t>th</w:t>
      </w:r>
      <w:r>
        <w:t xml:space="preserve"> – 13</w:t>
      </w:r>
      <w:r>
        <w:rPr>
          <w:vertAlign w:val="superscript"/>
        </w:rPr>
        <w:t>th</w:t>
      </w:r>
      <w:r>
        <w:t xml:space="preserve"> February 2025</w:t>
      </w:r>
      <w:r>
        <w:tab/>
      </w:r>
      <w:bookmarkEnd w:id="19"/>
      <w:bookmarkEnd w:id="20"/>
      <w:r>
        <w:t>Stor-Göteborg, SE</w:t>
      </w:r>
    </w:p>
    <w:p>
      <w:r>
        <w:t>RAN1#124bis</w:t>
      </w:r>
      <w:r>
        <w:tab/>
      </w:r>
      <w:r>
        <w:t>13</w:t>
      </w:r>
      <w:r>
        <w:rPr>
          <w:vertAlign w:val="superscript"/>
        </w:rPr>
        <w:t>th</w:t>
      </w:r>
      <w:r>
        <w:t xml:space="preserve"> - 17</w:t>
      </w:r>
      <w:r>
        <w:rPr>
          <w:vertAlign w:val="superscript"/>
        </w:rPr>
        <w:t>th</w:t>
      </w:r>
      <w:r>
        <w:t xml:space="preserve"> April 2025</w:t>
      </w:r>
      <w:r>
        <w:tab/>
      </w:r>
      <w:bookmarkEnd w:id="21"/>
      <w:bookmarkEnd w:id="22"/>
      <w:r>
        <w:t>EU</w:t>
      </w:r>
    </w:p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Wingdings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56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54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55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53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1"/>
  <w:bordersDoNotSurroundFooter w:val="1"/>
  <w:linkStyles/>
  <w:doNotTrackMoves/>
  <w:attachedTemplate r:id="rId1"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3939"/>
    <w:rsid w:val="00002282"/>
    <w:rsid w:val="00017F23"/>
    <w:rsid w:val="00067695"/>
    <w:rsid w:val="000C1793"/>
    <w:rsid w:val="000D5145"/>
    <w:rsid w:val="000F6242"/>
    <w:rsid w:val="001D7462"/>
    <w:rsid w:val="00281CC1"/>
    <w:rsid w:val="002847E9"/>
    <w:rsid w:val="002B2435"/>
    <w:rsid w:val="002F1940"/>
    <w:rsid w:val="003214E5"/>
    <w:rsid w:val="00383545"/>
    <w:rsid w:val="003A42EB"/>
    <w:rsid w:val="003B03A8"/>
    <w:rsid w:val="003C6819"/>
    <w:rsid w:val="003D2E89"/>
    <w:rsid w:val="003D4F1D"/>
    <w:rsid w:val="00406C02"/>
    <w:rsid w:val="00433500"/>
    <w:rsid w:val="00433F71"/>
    <w:rsid w:val="00440D43"/>
    <w:rsid w:val="00483FDA"/>
    <w:rsid w:val="004923B8"/>
    <w:rsid w:val="004B5FCA"/>
    <w:rsid w:val="004E3939"/>
    <w:rsid w:val="0053481D"/>
    <w:rsid w:val="00541703"/>
    <w:rsid w:val="00560084"/>
    <w:rsid w:val="00597E68"/>
    <w:rsid w:val="005C38E9"/>
    <w:rsid w:val="005D485C"/>
    <w:rsid w:val="00622BF0"/>
    <w:rsid w:val="00644D8B"/>
    <w:rsid w:val="006F1FED"/>
    <w:rsid w:val="006F67CA"/>
    <w:rsid w:val="00717515"/>
    <w:rsid w:val="00752034"/>
    <w:rsid w:val="007F4F92"/>
    <w:rsid w:val="0087210E"/>
    <w:rsid w:val="008D772F"/>
    <w:rsid w:val="00903779"/>
    <w:rsid w:val="00920DE0"/>
    <w:rsid w:val="00924AC9"/>
    <w:rsid w:val="0096351F"/>
    <w:rsid w:val="0099448F"/>
    <w:rsid w:val="0099764C"/>
    <w:rsid w:val="009D257D"/>
    <w:rsid w:val="00A513C1"/>
    <w:rsid w:val="00A702E2"/>
    <w:rsid w:val="00AD6D13"/>
    <w:rsid w:val="00B06876"/>
    <w:rsid w:val="00B13F70"/>
    <w:rsid w:val="00B410FD"/>
    <w:rsid w:val="00B54964"/>
    <w:rsid w:val="00B97703"/>
    <w:rsid w:val="00BD5E98"/>
    <w:rsid w:val="00C32485"/>
    <w:rsid w:val="00C33FC8"/>
    <w:rsid w:val="00CB7185"/>
    <w:rsid w:val="00CF0F20"/>
    <w:rsid w:val="00CF6087"/>
    <w:rsid w:val="00D1246E"/>
    <w:rsid w:val="00DA15E3"/>
    <w:rsid w:val="00DA5E55"/>
    <w:rsid w:val="00DA6708"/>
    <w:rsid w:val="00DC1DE1"/>
    <w:rsid w:val="00DF1408"/>
    <w:rsid w:val="00E42433"/>
    <w:rsid w:val="00E46A48"/>
    <w:rsid w:val="00EC63B4"/>
    <w:rsid w:val="00F06C50"/>
    <w:rsid w:val="00F273F8"/>
    <w:rsid w:val="00F31392"/>
    <w:rsid w:val="00FB701E"/>
    <w:rsid w:val="00FE7236"/>
    <w:rsid w:val="048E5251"/>
    <w:rsid w:val="66533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nhideWhenUsed="0" w:uiPriority="0" w:name="List"/>
    <w:lsdException w:qFormat="1" w:unhideWhenUsed="0" w:uiPriority="0" w:name="List Bullet"/>
    <w:lsdException w:qFormat="1" w:unhideWhenUsed="0" w:uiPriority="0" w:name="List Number"/>
    <w:lsdException w:unhideWhenUsed="0" w:uiPriority="0" w:name="List 2"/>
    <w:lsdException w:unhideWhenUsed="0" w:uiPriority="0" w:name="List 3"/>
    <w:lsdException w:unhideWhenUsed="0" w:uiPriority="0" w:name="List 4"/>
    <w:lsdException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等线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等线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uiPriority w:val="0"/>
    <w:pPr>
      <w:ind w:left="1135"/>
    </w:pPr>
  </w:style>
  <w:style w:type="paragraph" w:styleId="13">
    <w:name w:val="List 2"/>
    <w:basedOn w:val="14"/>
    <w:semiHidden/>
    <w:uiPriority w:val="0"/>
    <w:pPr>
      <w:ind w:left="851"/>
    </w:pPr>
  </w:style>
  <w:style w:type="paragraph" w:styleId="14">
    <w:name w:val="List"/>
    <w:basedOn w:val="1"/>
    <w:semiHidden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等线" w:cs="Times New Roman"/>
      <w:sz w:val="22"/>
      <w:lang w:val="en-GB" w:eastAsia="en-GB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29">
    <w:name w:val="Body Text"/>
    <w:basedOn w:val="1"/>
    <w:semiHidden/>
    <w:qFormat/>
    <w:uiPriority w:val="0"/>
    <w:rPr>
      <w:rFonts w:ascii="Arial" w:hAnsi="Arial" w:cs="Arial"/>
      <w:color w:val="FF0000"/>
    </w:rPr>
  </w:style>
  <w:style w:type="paragraph" w:styleId="30">
    <w:name w:val="List Bullet 5"/>
    <w:basedOn w:val="24"/>
    <w:semiHidden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57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33">
    <w:name w:val="footer"/>
    <w:basedOn w:val="34"/>
    <w:semiHidden/>
    <w:qFormat/>
    <w:uiPriority w:val="0"/>
    <w:pPr>
      <w:jc w:val="center"/>
    </w:pPr>
    <w:rPr>
      <w:i/>
    </w:rPr>
  </w:style>
  <w:style w:type="paragraph" w:styleId="34">
    <w:name w:val="header"/>
    <w:link w:val="58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b/>
      <w:sz w:val="18"/>
      <w:lang w:val="en-GB" w:eastAsia="en-GB" w:bidi="ar-SA"/>
    </w:rPr>
  </w:style>
  <w:style w:type="paragraph" w:styleId="35">
    <w:name w:val="footnote text"/>
    <w:basedOn w:val="1"/>
    <w:link w:val="62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semiHidden/>
    <w:uiPriority w:val="0"/>
    <w:pPr>
      <w:ind w:left="1702"/>
    </w:pPr>
  </w:style>
  <w:style w:type="paragraph" w:styleId="37">
    <w:name w:val="List 4"/>
    <w:basedOn w:val="12"/>
    <w:semiHidden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table" w:styleId="43">
    <w:name w:val="Table Grid"/>
    <w:basedOn w:val="42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page number"/>
    <w:basedOn w:val="44"/>
    <w:semiHidden/>
    <w:qFormat/>
    <w:uiPriority w:val="0"/>
  </w:style>
  <w:style w:type="character" w:styleId="46">
    <w:name w:val="Hyperlink"/>
    <w:unhideWhenUsed/>
    <w:qFormat/>
    <w:uiPriority w:val="99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B1"/>
    <w:basedOn w:val="14"/>
    <w:qFormat/>
    <w:uiPriority w:val="0"/>
  </w:style>
  <w:style w:type="paragraph" w:customStyle="1" w:styleId="50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51">
    <w:name w:val="??"/>
    <w:qFormat/>
    <w:uiPriority w:val="0"/>
    <w:pPr>
      <w:widowControl w:val="0"/>
    </w:pPr>
    <w:rPr>
      <w:rFonts w:ascii="Times New Roman" w:hAnsi="Times New Roman" w:eastAsia="等线" w:cs="Times New Roman"/>
      <w:lang w:val="en-US" w:eastAsia="en-US" w:bidi="ar-SA"/>
    </w:rPr>
  </w:style>
  <w:style w:type="paragraph" w:customStyle="1" w:styleId="52">
    <w:name w:val="??? 2"/>
    <w:basedOn w:val="51"/>
    <w:next w:val="51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53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54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55">
    <w:name w:val="done"/>
    <w:basedOn w:val="54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56">
    <w:name w:val="Not Done"/>
    <w:basedOn w:val="55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57">
    <w:name w:val="批注框文本 字符"/>
    <w:link w:val="32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58">
    <w:name w:val="页眉 字符"/>
    <w:link w:val="34"/>
    <w:qFormat/>
    <w:uiPriority w:val="0"/>
    <w:rPr>
      <w:rFonts w:ascii="Arial" w:hAnsi="Arial"/>
      <w:b/>
      <w:sz w:val="18"/>
    </w:rPr>
  </w:style>
  <w:style w:type="paragraph" w:customStyle="1" w:styleId="59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等线" w:cs="Times New Roman"/>
      <w:b/>
      <w:sz w:val="34"/>
      <w:lang w:val="en-GB" w:eastAsia="en-GB" w:bidi="ar-SA"/>
    </w:rPr>
  </w:style>
  <w:style w:type="paragraph" w:customStyle="1" w:styleId="60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lang w:val="en-GB" w:eastAsia="en-GB" w:bidi="ar-SA"/>
    </w:rPr>
  </w:style>
  <w:style w:type="paragraph" w:customStyle="1" w:styleId="61">
    <w:name w:val="TT"/>
    <w:basedOn w:val="2"/>
    <w:next w:val="1"/>
    <w:qFormat/>
    <w:uiPriority w:val="0"/>
    <w:pPr>
      <w:outlineLvl w:val="9"/>
    </w:pPr>
  </w:style>
  <w:style w:type="character" w:customStyle="1" w:styleId="62">
    <w:name w:val="脚注文本 字符"/>
    <w:link w:val="35"/>
    <w:semiHidden/>
    <w:uiPriority w:val="0"/>
    <w:rPr>
      <w:sz w:val="16"/>
    </w:rPr>
  </w:style>
  <w:style w:type="paragraph" w:customStyle="1" w:styleId="63">
    <w:name w:val="TAH"/>
    <w:basedOn w:val="64"/>
    <w:qFormat/>
    <w:uiPriority w:val="0"/>
    <w:rPr>
      <w:b/>
    </w:rPr>
  </w:style>
  <w:style w:type="paragraph" w:customStyle="1" w:styleId="64">
    <w:name w:val="TAC"/>
    <w:basedOn w:val="65"/>
    <w:qFormat/>
    <w:uiPriority w:val="0"/>
    <w:pPr>
      <w:jc w:val="center"/>
    </w:pPr>
  </w:style>
  <w:style w:type="paragraph" w:customStyle="1" w:styleId="6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6">
    <w:name w:val="TF"/>
    <w:basedOn w:val="67"/>
    <w:qFormat/>
    <w:uiPriority w:val="0"/>
    <w:pPr>
      <w:keepNext w:val="0"/>
      <w:spacing w:before="0" w:after="240"/>
    </w:pPr>
  </w:style>
  <w:style w:type="paragraph" w:customStyle="1" w:styleId="6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8">
    <w:name w:val="NO"/>
    <w:basedOn w:val="1"/>
    <w:qFormat/>
    <w:uiPriority w:val="0"/>
    <w:pPr>
      <w:keepLines/>
      <w:ind w:left="1135" w:hanging="851"/>
    </w:pPr>
  </w:style>
  <w:style w:type="paragraph" w:customStyle="1" w:styleId="69">
    <w:name w:val="EX"/>
    <w:basedOn w:val="1"/>
    <w:qFormat/>
    <w:uiPriority w:val="0"/>
    <w:pPr>
      <w:keepLines/>
      <w:ind w:left="1702" w:hanging="1418"/>
    </w:pPr>
  </w:style>
  <w:style w:type="paragraph" w:customStyle="1" w:styleId="70">
    <w:name w:val="FP"/>
    <w:basedOn w:val="1"/>
    <w:qFormat/>
    <w:uiPriority w:val="0"/>
    <w:pPr>
      <w:spacing w:after="0"/>
    </w:pPr>
  </w:style>
  <w:style w:type="paragraph" w:customStyle="1" w:styleId="71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等线" w:cs="Times New Roman"/>
      <w:lang w:val="en-GB" w:eastAsia="en-GB" w:bidi="ar-SA"/>
    </w:rPr>
  </w:style>
  <w:style w:type="paragraph" w:customStyle="1" w:styleId="72">
    <w:name w:val="NW"/>
    <w:basedOn w:val="68"/>
    <w:qFormat/>
    <w:uiPriority w:val="0"/>
    <w:pPr>
      <w:spacing w:after="0"/>
    </w:pPr>
  </w:style>
  <w:style w:type="paragraph" w:customStyle="1" w:styleId="73">
    <w:name w:val="EW"/>
    <w:basedOn w:val="69"/>
    <w:qFormat/>
    <w:uiPriority w:val="0"/>
    <w:pPr>
      <w:spacing w:after="0"/>
    </w:pPr>
  </w:style>
  <w:style w:type="paragraph" w:customStyle="1" w:styleId="7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5">
    <w:name w:val="NF"/>
    <w:basedOn w:val="68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等线" w:cs="Times New Roman"/>
      <w:sz w:val="16"/>
      <w:lang w:val="en-GB" w:eastAsia="en-GB" w:bidi="ar-SA"/>
    </w:rPr>
  </w:style>
  <w:style w:type="paragraph" w:customStyle="1" w:styleId="77">
    <w:name w:val="TAR"/>
    <w:basedOn w:val="65"/>
    <w:qFormat/>
    <w:uiPriority w:val="0"/>
    <w:pPr>
      <w:jc w:val="right"/>
    </w:pPr>
  </w:style>
  <w:style w:type="paragraph" w:customStyle="1" w:styleId="78">
    <w:name w:val="TAN"/>
    <w:basedOn w:val="65"/>
    <w:qFormat/>
    <w:uiPriority w:val="0"/>
    <w:pPr>
      <w:ind w:left="851" w:hanging="851"/>
    </w:pPr>
  </w:style>
  <w:style w:type="paragraph" w:customStyle="1" w:styleId="7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sz w:val="40"/>
      <w:lang w:val="en-GB" w:eastAsia="en-GB" w:bidi="ar-SA"/>
    </w:rPr>
  </w:style>
  <w:style w:type="paragraph" w:customStyle="1" w:styleId="80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等线" w:cs="Times New Roman"/>
      <w:i/>
      <w:lang w:val="en-GB" w:eastAsia="en-GB" w:bidi="ar-SA"/>
    </w:rPr>
  </w:style>
  <w:style w:type="paragraph" w:customStyle="1" w:styleId="81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sz w:val="32"/>
      <w:lang w:val="en-GB" w:eastAsia="en-GB" w:bidi="ar-SA"/>
    </w:rPr>
  </w:style>
  <w:style w:type="paragraph" w:customStyle="1" w:styleId="8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en-GB" w:bidi="ar-SA"/>
    </w:rPr>
  </w:style>
  <w:style w:type="paragraph" w:customStyle="1" w:styleId="83">
    <w:name w:val="ZV"/>
    <w:basedOn w:val="82"/>
    <w:uiPriority w:val="0"/>
    <w:pPr>
      <w:framePr w:y="16161"/>
    </w:pPr>
  </w:style>
  <w:style w:type="character" w:customStyle="1" w:styleId="84">
    <w:name w:val="ZGSM"/>
    <w:qFormat/>
    <w:uiPriority w:val="0"/>
  </w:style>
  <w:style w:type="paragraph" w:customStyle="1" w:styleId="85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en-GB" w:bidi="ar-SA"/>
    </w:rPr>
  </w:style>
  <w:style w:type="paragraph" w:customStyle="1" w:styleId="86">
    <w:name w:val="Editor's Note"/>
    <w:basedOn w:val="68"/>
    <w:uiPriority w:val="0"/>
    <w:rPr>
      <w:color w:val="FF0000"/>
    </w:rPr>
  </w:style>
  <w:style w:type="paragraph" w:customStyle="1" w:styleId="87">
    <w:name w:val="B2"/>
    <w:basedOn w:val="13"/>
    <w:qFormat/>
    <w:uiPriority w:val="0"/>
  </w:style>
  <w:style w:type="paragraph" w:customStyle="1" w:styleId="88">
    <w:name w:val="B3"/>
    <w:basedOn w:val="12"/>
    <w:uiPriority w:val="0"/>
  </w:style>
  <w:style w:type="paragraph" w:customStyle="1" w:styleId="89">
    <w:name w:val="B4"/>
    <w:basedOn w:val="37"/>
    <w:uiPriority w:val="0"/>
  </w:style>
  <w:style w:type="paragraph" w:customStyle="1" w:styleId="90">
    <w:name w:val="B5"/>
    <w:basedOn w:val="36"/>
    <w:uiPriority w:val="0"/>
  </w:style>
  <w:style w:type="paragraph" w:customStyle="1" w:styleId="91">
    <w:name w:val="ZTD"/>
    <w:basedOn w:val="80"/>
    <w:uiPriority w:val="0"/>
    <w:pPr>
      <w:framePr w:hRule="auto" w:y="852"/>
    </w:pPr>
    <w:rPr>
      <w:i w:val="0"/>
      <w:sz w:val="4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ZTE Corporation</Company>
  <Pages>2</Pages>
  <Words>318</Words>
  <Characters>1816</Characters>
  <Lines>15</Lines>
  <Paragraphs>4</Paragraphs>
  <TotalTime>370</TotalTime>
  <ScaleCrop>false</ScaleCrop>
  <LinksUpToDate>false</LinksUpToDate>
  <CharactersWithSpaces>2130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2020-01-14T15:01:00Z</dcterms:created>
  <dc:creator>ZTE Corporation</dc:creator>
  <cp:lastModifiedBy>ZTE-Shuaihua</cp:lastModifiedBy>
  <cp:lastPrinted>2002-04-23T07:10:00Z</cp:lastPrinted>
  <dcterms:modified xsi:type="dcterms:W3CDTF">2025-11-06T02:17:53Z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140C4F14535B45C2ABA9B8D6DDFD8B0B</vt:lpwstr>
  </property>
</Properties>
</file>